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7CB39">
      <w:pPr>
        <w:pStyle w:val="2"/>
        <w:spacing w:before="69" w:line="219" w:lineRule="auto"/>
        <w:jc w:val="both"/>
        <w:outlineLvl w:val="0"/>
        <w:rPr>
          <w:rFonts w:hint="eastAsia"/>
          <w:b/>
          <w:bCs/>
          <w:spacing w:val="-31"/>
          <w:sz w:val="35"/>
          <w:szCs w:val="35"/>
          <w:lang w:eastAsia="zh-CN"/>
        </w:rPr>
      </w:pPr>
      <w:r>
        <w:rPr>
          <w:rFonts w:hint="eastAsia"/>
          <w:b/>
          <w:bCs/>
          <w:spacing w:val="-31"/>
          <w:sz w:val="35"/>
          <w:szCs w:val="35"/>
          <w:lang w:eastAsia="zh-CN"/>
        </w:rPr>
        <w:t>附件</w:t>
      </w:r>
    </w:p>
    <w:p w14:paraId="7DB0587A">
      <w:pPr>
        <w:pStyle w:val="2"/>
        <w:spacing w:before="69" w:line="219" w:lineRule="auto"/>
        <w:ind w:firstLine="1157" w:firstLineChars="400"/>
        <w:jc w:val="both"/>
        <w:outlineLvl w:val="0"/>
        <w:rPr>
          <w:rFonts w:hint="default"/>
          <w:sz w:val="35"/>
          <w:szCs w:val="35"/>
          <w:lang w:val="en-US"/>
        </w:rPr>
      </w:pPr>
      <w:r>
        <w:rPr>
          <w:rFonts w:hint="eastAsia"/>
          <w:b/>
          <w:bCs/>
          <w:spacing w:val="-31"/>
          <w:sz w:val="35"/>
          <w:szCs w:val="35"/>
          <w:lang w:eastAsia="zh-CN"/>
        </w:rPr>
        <w:t>河池市宜州区人民医院病媒生物防制服务</w:t>
      </w:r>
      <w:r>
        <w:rPr>
          <w:rFonts w:hint="eastAsia"/>
          <w:b/>
          <w:bCs/>
          <w:spacing w:val="-31"/>
          <w:sz w:val="35"/>
          <w:szCs w:val="35"/>
          <w:lang w:val="en-US" w:eastAsia="zh-CN"/>
        </w:rPr>
        <w:t>采购项目报名材料</w:t>
      </w:r>
    </w:p>
    <w:p w14:paraId="2151D6E5">
      <w:pPr>
        <w:spacing w:line="264" w:lineRule="auto"/>
        <w:rPr>
          <w:rFonts w:ascii="Arial"/>
          <w:sz w:val="21"/>
        </w:rPr>
      </w:pPr>
    </w:p>
    <w:p w14:paraId="3C02C80D">
      <w:pPr>
        <w:pStyle w:val="2"/>
        <w:spacing w:before="210" w:line="219" w:lineRule="auto"/>
        <w:ind w:left="135"/>
        <w:rPr>
          <w:spacing w:val="-26"/>
          <w:w w:val="96"/>
          <w:u w:val="single" w:color="auto"/>
        </w:rPr>
      </w:pPr>
      <w:r>
        <w:rPr>
          <w:spacing w:val="-26"/>
          <w:w w:val="96"/>
        </w:rPr>
        <w:t>项目名称：</w:t>
      </w:r>
      <w:r>
        <w:rPr>
          <w:spacing w:val="-26"/>
          <w:w w:val="96"/>
          <w:u w:val="single" w:color="auto"/>
        </w:rPr>
        <w:t>河池市宜州区人民医院病媒生物防制服务</w:t>
      </w:r>
      <w:bookmarkStart w:id="0" w:name="_GoBack"/>
      <w:bookmarkEnd w:id="0"/>
    </w:p>
    <w:p w14:paraId="58FA4D78">
      <w:pPr>
        <w:pStyle w:val="2"/>
        <w:spacing w:before="210" w:line="219" w:lineRule="auto"/>
        <w:ind w:left="135"/>
        <w:rPr>
          <w:rFonts w:hint="default" w:eastAsia="宋体"/>
          <w:spacing w:val="-26"/>
          <w:w w:val="96"/>
          <w:u w:val="single" w:color="auto"/>
          <w:lang w:val="en-US" w:eastAsia="zh-CN"/>
        </w:rPr>
      </w:pPr>
      <w:r>
        <w:rPr>
          <w:rFonts w:hint="eastAsia"/>
          <w:spacing w:val="-26"/>
          <w:w w:val="96"/>
          <w:u w:val="single" w:color="auto"/>
          <w:lang w:val="en-US" w:eastAsia="zh-CN"/>
        </w:rPr>
        <w:t>服务期限：2年</w:t>
      </w:r>
    </w:p>
    <w:p w14:paraId="5D3E0963">
      <w:pPr>
        <w:pStyle w:val="2"/>
        <w:spacing w:before="210" w:line="219" w:lineRule="auto"/>
        <w:ind w:left="135"/>
        <w:rPr>
          <w:rFonts w:hint="eastAsia"/>
          <w:spacing w:val="-26"/>
          <w:w w:val="96"/>
          <w:u w:val="single" w:color="auto"/>
          <w:lang w:val="en-US" w:eastAsia="zh-CN"/>
        </w:rPr>
      </w:pPr>
      <w:r>
        <w:rPr>
          <w:rFonts w:hint="eastAsia"/>
          <w:spacing w:val="-26"/>
          <w:w w:val="96"/>
          <w:u w:val="single" w:color="auto"/>
          <w:lang w:val="en-US" w:eastAsia="zh-CN"/>
        </w:rPr>
        <w:t>采购控制价：45000.00/2年</w:t>
      </w:r>
    </w:p>
    <w:p w14:paraId="2FE3EF05">
      <w:pPr>
        <w:pStyle w:val="2"/>
        <w:spacing w:before="210" w:line="219" w:lineRule="auto"/>
        <w:ind w:left="135"/>
        <w:rPr>
          <w:rFonts w:hint="default"/>
          <w:spacing w:val="-26"/>
          <w:w w:val="96"/>
          <w:u w:val="single" w:color="auto"/>
          <w:lang w:val="en-US" w:eastAsia="zh-CN"/>
        </w:rPr>
      </w:pPr>
      <w:r>
        <w:rPr>
          <w:rFonts w:hint="eastAsia"/>
          <w:spacing w:val="-26"/>
          <w:w w:val="96"/>
          <w:u w:val="single" w:color="auto"/>
          <w:lang w:val="en-US" w:eastAsia="zh-CN"/>
        </w:rPr>
        <w:t>注：以下资料务必加盖报价单位公章；联系人及联系电话：</w:t>
      </w:r>
    </w:p>
    <w:p w14:paraId="38AAAD1F">
      <w:pPr>
        <w:pStyle w:val="2"/>
        <w:spacing w:before="185" w:line="220" w:lineRule="auto"/>
        <w:ind w:left="644"/>
      </w:pPr>
      <w:r>
        <w:rPr>
          <w:rFonts w:hint="eastAsia"/>
          <w:color w:val="auto"/>
          <w:spacing w:val="-5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详细服务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方案及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报价（含服务内容、频次、人员配置、费用明细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）</w:t>
      </w:r>
    </w:p>
    <w:p w14:paraId="26E5DBA3">
      <w:pPr>
        <w:spacing w:line="159" w:lineRule="exact"/>
      </w:pPr>
    </w:p>
    <w:tbl>
      <w:tblPr>
        <w:tblStyle w:val="7"/>
        <w:tblW w:w="96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628"/>
        <w:gridCol w:w="3067"/>
        <w:gridCol w:w="3022"/>
        <w:gridCol w:w="1245"/>
      </w:tblGrid>
      <w:tr w14:paraId="74AF6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704" w:type="dxa"/>
            <w:vAlign w:val="center"/>
          </w:tcPr>
          <w:p w14:paraId="3A9F7063">
            <w:pPr>
              <w:spacing w:before="255" w:line="221" w:lineRule="auto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1628" w:type="dxa"/>
            <w:vAlign w:val="center"/>
          </w:tcPr>
          <w:p w14:paraId="5552F898">
            <w:pPr>
              <w:spacing w:before="254" w:line="220" w:lineRule="auto"/>
              <w:ind w:firstLine="220" w:firstLineChars="100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标的名称</w:t>
            </w:r>
          </w:p>
        </w:tc>
        <w:tc>
          <w:tcPr>
            <w:tcW w:w="3067" w:type="dxa"/>
            <w:vAlign w:val="center"/>
          </w:tcPr>
          <w:p w14:paraId="4955BB19">
            <w:pPr>
              <w:spacing w:before="33" w:line="378" w:lineRule="auto"/>
              <w:ind w:righ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3DF9ABD">
            <w:pPr>
              <w:spacing w:before="33" w:line="378" w:lineRule="auto"/>
              <w:ind w:right="243" w:firstLine="420" w:firstLineChars="200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技术参数或服务内容</w:t>
            </w:r>
          </w:p>
        </w:tc>
        <w:tc>
          <w:tcPr>
            <w:tcW w:w="3022" w:type="dxa"/>
            <w:vAlign w:val="center"/>
          </w:tcPr>
          <w:p w14:paraId="7FA879D1">
            <w:pPr>
              <w:ind w:firstLine="210" w:firstLineChars="100"/>
              <w:jc w:val="both"/>
              <w:rPr>
                <w:rFonts w:hint="eastAsia"/>
                <w:lang w:val="en-US" w:eastAsia="zh-CN"/>
              </w:rPr>
            </w:pPr>
          </w:p>
          <w:p w14:paraId="52FB12C1"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报价单位响应方案</w:t>
            </w:r>
          </w:p>
        </w:tc>
        <w:tc>
          <w:tcPr>
            <w:tcW w:w="1245" w:type="dxa"/>
            <w:vAlign w:val="center"/>
          </w:tcPr>
          <w:p w14:paraId="4F0E22B5">
            <w:pPr>
              <w:jc w:val="center"/>
              <w:rPr>
                <w:rFonts w:hint="eastAsia"/>
                <w:lang w:val="en-US" w:eastAsia="zh-CN"/>
              </w:rPr>
            </w:pPr>
          </w:p>
          <w:p w14:paraId="4D8F657D">
            <w:pPr>
              <w:jc w:val="center"/>
            </w:pPr>
            <w:r>
              <w:rPr>
                <w:rFonts w:hint="eastAsia"/>
                <w:lang w:val="en-US" w:eastAsia="zh-CN"/>
              </w:rPr>
              <w:t>报价</w:t>
            </w:r>
            <w:r>
              <w:t>金额</w:t>
            </w:r>
          </w:p>
          <w:p w14:paraId="7E13D8FC">
            <w:pPr>
              <w:jc w:val="center"/>
            </w:pPr>
            <w:r>
              <w:t>( 元 )</w:t>
            </w:r>
          </w:p>
        </w:tc>
      </w:tr>
      <w:tr w14:paraId="25235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6" w:hRule="atLeast"/>
          <w:jc w:val="center"/>
        </w:trPr>
        <w:tc>
          <w:tcPr>
            <w:tcW w:w="704" w:type="dxa"/>
            <w:vAlign w:val="top"/>
          </w:tcPr>
          <w:p w14:paraId="2152F694">
            <w:pPr>
              <w:pStyle w:val="8"/>
              <w:spacing w:line="260" w:lineRule="auto"/>
            </w:pPr>
          </w:p>
          <w:p w14:paraId="4C9F1984">
            <w:pPr>
              <w:pStyle w:val="8"/>
              <w:spacing w:line="260" w:lineRule="auto"/>
            </w:pPr>
          </w:p>
          <w:p w14:paraId="2A93AFC3">
            <w:pPr>
              <w:pStyle w:val="8"/>
              <w:spacing w:line="260" w:lineRule="auto"/>
            </w:pPr>
          </w:p>
          <w:p w14:paraId="38DB99C8">
            <w:pPr>
              <w:pStyle w:val="8"/>
              <w:spacing w:line="260" w:lineRule="auto"/>
            </w:pPr>
          </w:p>
          <w:p w14:paraId="7F640647">
            <w:pPr>
              <w:pStyle w:val="8"/>
              <w:spacing w:line="260" w:lineRule="auto"/>
            </w:pPr>
          </w:p>
          <w:p w14:paraId="541BD5BA">
            <w:pPr>
              <w:pStyle w:val="8"/>
              <w:spacing w:line="260" w:lineRule="auto"/>
            </w:pPr>
          </w:p>
          <w:p w14:paraId="7D6513EE">
            <w:pPr>
              <w:pStyle w:val="8"/>
              <w:spacing w:line="260" w:lineRule="auto"/>
            </w:pPr>
          </w:p>
          <w:p w14:paraId="20C9C272">
            <w:pPr>
              <w:pStyle w:val="8"/>
              <w:spacing w:line="260" w:lineRule="auto"/>
            </w:pPr>
          </w:p>
          <w:p w14:paraId="7B03BD6E">
            <w:pPr>
              <w:pStyle w:val="8"/>
              <w:spacing w:line="260" w:lineRule="auto"/>
            </w:pPr>
          </w:p>
          <w:p w14:paraId="16C0FABD">
            <w:pPr>
              <w:pStyle w:val="8"/>
              <w:spacing w:line="261" w:lineRule="auto"/>
            </w:pPr>
          </w:p>
          <w:p w14:paraId="71C3B241">
            <w:pPr>
              <w:pStyle w:val="8"/>
              <w:spacing w:line="261" w:lineRule="auto"/>
            </w:pPr>
          </w:p>
          <w:p w14:paraId="1A6363BC">
            <w:pPr>
              <w:spacing w:before="72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69FD0BC8">
            <w:pPr>
              <w:spacing w:before="72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4424CFAA">
            <w:pPr>
              <w:spacing w:before="72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4E0E4A69">
            <w:pPr>
              <w:spacing w:before="72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748FC769">
            <w:pPr>
              <w:spacing w:before="72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4649EA47">
            <w:pPr>
              <w:spacing w:before="72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63C9BB9A">
            <w:pPr>
              <w:spacing w:before="72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628" w:type="dxa"/>
            <w:vAlign w:val="top"/>
          </w:tcPr>
          <w:p w14:paraId="1DF2235F">
            <w:pPr>
              <w:pStyle w:val="8"/>
              <w:spacing w:line="263" w:lineRule="auto"/>
            </w:pPr>
          </w:p>
          <w:p w14:paraId="50FF8B7E">
            <w:pPr>
              <w:pStyle w:val="8"/>
              <w:spacing w:line="263" w:lineRule="auto"/>
            </w:pPr>
          </w:p>
          <w:p w14:paraId="1C2A6288">
            <w:pPr>
              <w:pStyle w:val="8"/>
              <w:spacing w:line="263" w:lineRule="auto"/>
            </w:pPr>
          </w:p>
          <w:p w14:paraId="59E66F3C">
            <w:pPr>
              <w:pStyle w:val="8"/>
              <w:spacing w:line="263" w:lineRule="auto"/>
            </w:pPr>
          </w:p>
          <w:p w14:paraId="6AA369D3">
            <w:pPr>
              <w:pStyle w:val="8"/>
              <w:spacing w:line="263" w:lineRule="auto"/>
            </w:pPr>
          </w:p>
          <w:p w14:paraId="24DC3217">
            <w:pPr>
              <w:pStyle w:val="8"/>
              <w:spacing w:line="264" w:lineRule="auto"/>
            </w:pPr>
          </w:p>
          <w:p w14:paraId="1CB9D508">
            <w:pPr>
              <w:pStyle w:val="8"/>
              <w:spacing w:line="264" w:lineRule="auto"/>
            </w:pPr>
          </w:p>
          <w:p w14:paraId="596182A2">
            <w:pPr>
              <w:pStyle w:val="8"/>
              <w:spacing w:line="264" w:lineRule="auto"/>
            </w:pPr>
          </w:p>
          <w:p w14:paraId="75FF5E7C">
            <w:pPr>
              <w:pStyle w:val="8"/>
              <w:spacing w:line="264" w:lineRule="auto"/>
            </w:pPr>
          </w:p>
          <w:p w14:paraId="4C0D8392">
            <w:pPr>
              <w:spacing w:before="71" w:line="342" w:lineRule="auto"/>
              <w:ind w:left="141" w:right="138"/>
              <w:jc w:val="both"/>
              <w:rPr>
                <w:rFonts w:ascii="宋体" w:hAnsi="宋体" w:eastAsia="宋体" w:cs="宋体"/>
                <w:spacing w:val="3"/>
                <w:sz w:val="22"/>
                <w:szCs w:val="22"/>
              </w:rPr>
            </w:pPr>
          </w:p>
          <w:p w14:paraId="178F234F">
            <w:pPr>
              <w:spacing w:before="71" w:line="342" w:lineRule="auto"/>
              <w:ind w:left="141" w:right="138"/>
              <w:jc w:val="both"/>
              <w:rPr>
                <w:rFonts w:ascii="宋体" w:hAnsi="宋体" w:eastAsia="宋体" w:cs="宋体"/>
                <w:spacing w:val="3"/>
                <w:sz w:val="22"/>
                <w:szCs w:val="22"/>
              </w:rPr>
            </w:pPr>
          </w:p>
          <w:p w14:paraId="05D15950">
            <w:pPr>
              <w:spacing w:before="71" w:line="342" w:lineRule="auto"/>
              <w:ind w:left="141" w:right="138"/>
              <w:jc w:val="both"/>
              <w:rPr>
                <w:rFonts w:ascii="宋体" w:hAnsi="宋体" w:eastAsia="宋体" w:cs="宋体"/>
                <w:spacing w:val="3"/>
                <w:sz w:val="22"/>
                <w:szCs w:val="22"/>
              </w:rPr>
            </w:pPr>
          </w:p>
          <w:p w14:paraId="22CC33FE">
            <w:pPr>
              <w:spacing w:before="71" w:line="342" w:lineRule="auto"/>
              <w:ind w:left="141" w:right="138"/>
              <w:jc w:val="both"/>
              <w:rPr>
                <w:rFonts w:ascii="宋体" w:hAnsi="宋体" w:eastAsia="宋体" w:cs="宋体"/>
                <w:spacing w:val="3"/>
                <w:sz w:val="22"/>
                <w:szCs w:val="22"/>
              </w:rPr>
            </w:pPr>
          </w:p>
          <w:p w14:paraId="3B23A870">
            <w:pPr>
              <w:spacing w:before="71" w:line="342" w:lineRule="auto"/>
              <w:ind w:left="141" w:right="138"/>
              <w:jc w:val="both"/>
              <w:rPr>
                <w:rFonts w:ascii="宋体" w:hAnsi="宋体" w:eastAsia="宋体" w:cs="宋体"/>
                <w:spacing w:val="3"/>
                <w:sz w:val="22"/>
                <w:szCs w:val="22"/>
              </w:rPr>
            </w:pPr>
          </w:p>
          <w:p w14:paraId="21DC8CC6">
            <w:pPr>
              <w:spacing w:before="71" w:line="342" w:lineRule="auto"/>
              <w:ind w:left="141" w:right="138"/>
              <w:jc w:val="both"/>
              <w:rPr>
                <w:rFonts w:ascii="宋体" w:hAnsi="宋体" w:eastAsia="宋体" w:cs="宋体"/>
                <w:spacing w:val="3"/>
                <w:sz w:val="22"/>
                <w:szCs w:val="22"/>
              </w:rPr>
            </w:pPr>
          </w:p>
          <w:p w14:paraId="4A3A8279">
            <w:pPr>
              <w:spacing w:before="71" w:line="342" w:lineRule="auto"/>
              <w:ind w:left="141" w:right="13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河池市宜州区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人民医院病媒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生物防制服务</w:t>
            </w:r>
          </w:p>
        </w:tc>
        <w:tc>
          <w:tcPr>
            <w:tcW w:w="3067" w:type="dxa"/>
            <w:vAlign w:val="top"/>
          </w:tcPr>
          <w:p w14:paraId="729DA5DC">
            <w:r>
              <w:t>(一)服务区域：河池市宜州区人民医院现有所属范围内部环境： 住宿小区公共区域、1 号住院楼、2号住院楼、 门诊楼、感染性疾病科楼、高压氧舱楼、医技 综合楼、CT</w:t>
            </w:r>
            <w:r>
              <w:rPr>
                <w:rFonts w:hint="eastAsia" w:eastAsia="宋体"/>
                <w:lang w:val="en-US" w:eastAsia="zh-CN"/>
              </w:rPr>
              <w:t xml:space="preserve">2 </w:t>
            </w:r>
            <w:r>
              <w:t>楼、发热  门诊楼、城西社区</w:t>
            </w:r>
            <w:r>
              <w:rPr>
                <w:rFonts w:hint="eastAsia" w:eastAsia="宋体"/>
                <w:lang w:val="en-US" w:eastAsia="zh-CN"/>
              </w:rPr>
              <w:t>卫生</w:t>
            </w:r>
            <w:r>
              <w:t>服务中心、</w:t>
            </w:r>
            <w:r>
              <w:rPr>
                <w:rFonts w:hint="eastAsia" w:eastAsia="宋体"/>
                <w:lang w:val="en-US" w:eastAsia="zh-CN"/>
              </w:rPr>
              <w:t>公寓楼</w:t>
            </w:r>
            <w:r>
              <w:t>、医疗废 物暂存处、污水处理间及绿化带等公共区域。</w:t>
            </w:r>
          </w:p>
          <w:p w14:paraId="01CBDEB6">
            <w:pPr>
              <w:spacing w:before="98" w:line="282" w:lineRule="auto"/>
              <w:ind w:left="102" w:firstLine="118"/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/>
                <w:lang w:eastAsia="zh-CN"/>
              </w:rPr>
              <w:t>(二)服务标准：在约定服务范围内开展病媒及有害生物检查、预防与滋生控制工作，遏制其危害蔓延；每年对医院重点虫害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区域开展害虫密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eastAsia="zh-CN"/>
              </w:rPr>
              <w:t>度检测，按规范出具害虫密度检测报告，确保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服务区域内的虫害密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度达到国家爱卫部门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制定的病媒生物防治密度标准（病媒生物密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度控制国家标准GB/T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27770-2011）</w:t>
            </w:r>
          </w:p>
          <w:p w14:paraId="4C9B3962">
            <w:pPr>
              <w:spacing w:before="88" w:line="265" w:lineRule="auto"/>
              <w:ind w:left="112" w:firstLine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eastAsia="zh-CN"/>
              </w:rPr>
              <w:t>(三)使用物料及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作业方法要求：所有作业均依照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本地现行适用的法律法规开展，所使用的全部药物均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具备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eastAsia="zh-CN"/>
              </w:rPr>
              <w:t>安全性、低残留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eastAsia="zh-CN"/>
              </w:rPr>
              <w:t>性，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  <w:lang w:eastAsia="zh-CN"/>
              </w:rPr>
              <w:t>对环境友好。</w:t>
            </w:r>
          </w:p>
          <w:p w14:paraId="2E50234C">
            <w:pPr>
              <w:spacing w:before="99" w:line="284" w:lineRule="auto"/>
              <w:ind w:left="102" w:right="83" w:firstLine="11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(四)组织培训：服务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eastAsia="zh-CN"/>
              </w:rPr>
              <w:t>开始初期（1个月内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），为院方相关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工作人员开展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一次病媒生物防控培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eastAsia="zh-CN"/>
              </w:rPr>
              <w:t>训。</w:t>
            </w:r>
          </w:p>
          <w:p w14:paraId="11DE84D0">
            <w:pPr>
              <w:spacing w:line="222" w:lineRule="auto"/>
              <w:ind w:left="102"/>
              <w:rPr>
                <w:rFonts w:hint="eastAsia" w:eastAsia="宋体"/>
                <w:lang w:eastAsia="zh-CN"/>
              </w:rPr>
            </w:pPr>
          </w:p>
          <w:p w14:paraId="13FC8C8B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3022" w:type="dxa"/>
            <w:vAlign w:val="top"/>
          </w:tcPr>
          <w:p w14:paraId="348F0CE1">
            <w:pPr>
              <w:pStyle w:val="8"/>
              <w:spacing w:line="260" w:lineRule="auto"/>
            </w:pPr>
          </w:p>
          <w:p w14:paraId="525993C1">
            <w:pPr>
              <w:pStyle w:val="8"/>
              <w:spacing w:line="260" w:lineRule="auto"/>
            </w:pPr>
          </w:p>
          <w:p w14:paraId="09F923AE">
            <w:pPr>
              <w:pStyle w:val="8"/>
              <w:spacing w:line="260" w:lineRule="auto"/>
            </w:pPr>
          </w:p>
          <w:p w14:paraId="3A04C9D4">
            <w:pPr>
              <w:pStyle w:val="8"/>
              <w:spacing w:line="260" w:lineRule="auto"/>
            </w:pPr>
          </w:p>
          <w:p w14:paraId="084664B5">
            <w:pPr>
              <w:pStyle w:val="8"/>
              <w:spacing w:line="260" w:lineRule="auto"/>
            </w:pPr>
          </w:p>
          <w:p w14:paraId="1B51102A">
            <w:pPr>
              <w:pStyle w:val="8"/>
              <w:spacing w:line="260" w:lineRule="auto"/>
            </w:pPr>
          </w:p>
          <w:p w14:paraId="71D1A1D2">
            <w:pPr>
              <w:pStyle w:val="8"/>
              <w:spacing w:line="260" w:lineRule="auto"/>
            </w:pPr>
          </w:p>
          <w:p w14:paraId="152A3F1D">
            <w:pPr>
              <w:pStyle w:val="8"/>
              <w:spacing w:line="260" w:lineRule="auto"/>
            </w:pPr>
          </w:p>
          <w:p w14:paraId="3A47525D">
            <w:pPr>
              <w:pStyle w:val="8"/>
              <w:spacing w:line="260" w:lineRule="auto"/>
            </w:pPr>
          </w:p>
          <w:p w14:paraId="7F69A984">
            <w:pPr>
              <w:pStyle w:val="8"/>
              <w:spacing w:line="261" w:lineRule="auto"/>
            </w:pPr>
          </w:p>
          <w:p w14:paraId="1128D120">
            <w:pPr>
              <w:pStyle w:val="8"/>
              <w:spacing w:line="261" w:lineRule="auto"/>
            </w:pPr>
          </w:p>
          <w:p w14:paraId="2406E29A">
            <w:pPr>
              <w:spacing w:before="72" w:line="241" w:lineRule="auto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45" w:type="dxa"/>
            <w:vAlign w:val="top"/>
          </w:tcPr>
          <w:p w14:paraId="25DDBC54">
            <w:pPr>
              <w:pStyle w:val="8"/>
              <w:spacing w:line="260" w:lineRule="auto"/>
            </w:pPr>
          </w:p>
          <w:p w14:paraId="641334F1">
            <w:pPr>
              <w:pStyle w:val="8"/>
              <w:spacing w:line="260" w:lineRule="auto"/>
            </w:pPr>
          </w:p>
          <w:p w14:paraId="038C085F">
            <w:pPr>
              <w:pStyle w:val="8"/>
              <w:spacing w:line="260" w:lineRule="auto"/>
            </w:pPr>
          </w:p>
          <w:p w14:paraId="4A5C34D7">
            <w:pPr>
              <w:pStyle w:val="8"/>
              <w:spacing w:line="260" w:lineRule="auto"/>
            </w:pPr>
          </w:p>
          <w:p w14:paraId="67C1A7F2">
            <w:pPr>
              <w:pStyle w:val="8"/>
              <w:spacing w:line="260" w:lineRule="auto"/>
            </w:pPr>
          </w:p>
          <w:p w14:paraId="22783FD9">
            <w:pPr>
              <w:pStyle w:val="8"/>
              <w:spacing w:line="260" w:lineRule="auto"/>
            </w:pPr>
          </w:p>
          <w:p w14:paraId="4B9F69C5">
            <w:pPr>
              <w:pStyle w:val="8"/>
              <w:spacing w:line="260" w:lineRule="auto"/>
            </w:pPr>
          </w:p>
          <w:p w14:paraId="2F027BE6">
            <w:pPr>
              <w:pStyle w:val="8"/>
              <w:spacing w:line="260" w:lineRule="auto"/>
            </w:pPr>
          </w:p>
          <w:p w14:paraId="6D9C4C74">
            <w:pPr>
              <w:pStyle w:val="8"/>
              <w:spacing w:line="260" w:lineRule="auto"/>
            </w:pPr>
          </w:p>
          <w:p w14:paraId="565E981E">
            <w:pPr>
              <w:pStyle w:val="8"/>
              <w:spacing w:line="261" w:lineRule="auto"/>
            </w:pPr>
          </w:p>
          <w:p w14:paraId="437ABF32">
            <w:pPr>
              <w:pStyle w:val="8"/>
              <w:spacing w:line="261" w:lineRule="auto"/>
            </w:pPr>
          </w:p>
          <w:p w14:paraId="212FA462">
            <w:pPr>
              <w:spacing w:before="71"/>
              <w:ind w:left="638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 w14:paraId="48F3D74E">
      <w:pPr>
        <w:rPr>
          <w:rFonts w:ascii="Arial"/>
          <w:sz w:val="21"/>
        </w:rPr>
      </w:pPr>
    </w:p>
    <w:p w14:paraId="7CC53AE6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028" w:right="49" w:bottom="814" w:left="934" w:header="0" w:footer="692" w:gutter="0"/>
          <w:cols w:space="720" w:num="1"/>
        </w:sectPr>
      </w:pPr>
    </w:p>
    <w:tbl>
      <w:tblPr>
        <w:tblStyle w:val="7"/>
        <w:tblW w:w="9529" w:type="dxa"/>
        <w:tblInd w:w="1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628"/>
        <w:gridCol w:w="2936"/>
        <w:gridCol w:w="2992"/>
        <w:gridCol w:w="1259"/>
      </w:tblGrid>
      <w:tr w14:paraId="16EBE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0" w:hRule="atLeast"/>
        </w:trPr>
        <w:tc>
          <w:tcPr>
            <w:tcW w:w="714" w:type="dxa"/>
            <w:vAlign w:val="top"/>
          </w:tcPr>
          <w:p w14:paraId="734BF82B">
            <w:pPr>
              <w:pStyle w:val="8"/>
            </w:pPr>
          </w:p>
        </w:tc>
        <w:tc>
          <w:tcPr>
            <w:tcW w:w="1628" w:type="dxa"/>
            <w:vAlign w:val="top"/>
          </w:tcPr>
          <w:p w14:paraId="31CEB3B9">
            <w:pPr>
              <w:pStyle w:val="8"/>
            </w:pPr>
          </w:p>
        </w:tc>
        <w:tc>
          <w:tcPr>
            <w:tcW w:w="2936" w:type="dxa"/>
            <w:vAlign w:val="top"/>
          </w:tcPr>
          <w:p w14:paraId="326E1C57">
            <w:pPr>
              <w:spacing w:before="109" w:line="274" w:lineRule="auto"/>
              <w:ind w:left="112" w:firstLine="109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(五)制定突发危害应急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防控预案，针对需要紧急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服务的情形（如卫生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主管部门检查、重要活动保障等），服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  <w:t>务方应在院方发出需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求后24小时内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抵达现场开展应急处理；若服务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效果未达标，服务方需在院方发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  <w:t>出口头及书面通知后7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  <w:lang w:val="en-US" w:eastAsia="zh-CN"/>
              </w:rPr>
              <w:t>日内完成服务改进，逾</w:t>
            </w: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val="en-US" w:eastAsia="zh-CN"/>
              </w:rPr>
              <w:t>期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未完成改进的，院方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  <w:t>可拒绝支付当月服务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  <w:lang w:val="en-US" w:eastAsia="zh-CN"/>
              </w:rPr>
              <w:t>费。</w:t>
            </w:r>
          </w:p>
          <w:p w14:paraId="4BF43FE3">
            <w:pPr>
              <w:ind w:firstLine="210" w:firstLineChars="100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六)具体服务频率要求：</w:t>
            </w:r>
          </w:p>
          <w:p w14:paraId="75C3E628">
            <w:pPr>
              <w:spacing w:before="109" w:line="274" w:lineRule="auto"/>
              <w:ind w:left="112" w:firstLine="109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.建筑室内：对医院厨房、下水道、桌椅底部、厕所、绿化带、垃圾桶等区域，采用菊酯类悬浮剂按照25-30ML/m²的剂量进行滞留喷洒处理；同时排查室内蟑螂滋生场所，如操作间、厨房、下水道等，若发现有蜚蠊，采用投放胶饵、饵剂或热烟雾方式进行处理。</w:t>
            </w:r>
          </w:p>
          <w:p w14:paraId="6C47278E">
            <w:pPr>
              <w:spacing w:before="109" w:line="274" w:lineRule="auto"/>
              <w:ind w:left="112" w:firstLine="109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2.在服务期限内提供防虫、防鼠、防白蚁设施，并负责维护修理，包括：室内粘捕式灭蝇灯，粘捕式灭虫灯，鼠盒，鼠笼、鼠夹、粘鼠板，区域范围内至少投放毒饵盒六十个、灭蚊灯十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盏。</w:t>
            </w:r>
          </w:p>
          <w:p w14:paraId="50C755F5">
            <w:pPr>
              <w:spacing w:before="109" w:line="274" w:lineRule="auto"/>
              <w:ind w:left="112" w:firstLine="109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3.在服务区域开展鼠害排查，在室外、管道、吊顶、检修通道、杂物堆等存在鼠迹的位置投放鼠饵或布放鼠板，在住院部大楼、产科儿科综合楼等建筑外墙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基处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安装鼠饵屋等防鼠设施，并且每月对上述设施开展2次检查维护、诱饵更换工作。</w:t>
            </w:r>
          </w:p>
          <w:p w14:paraId="0C11DCAB">
            <w:pPr>
              <w:spacing w:before="109" w:line="274" w:lineRule="auto"/>
              <w:ind w:left="112" w:firstLine="109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4.每月对室内外灭蝇灯开展2次检查维护，长期监测、预防病媒生物滋生；定期对厕所、垃圾桶、绿化带开展药物滞留喷洒，杀灭现存害虫，预防害虫繁殖。</w:t>
            </w:r>
          </w:p>
          <w:p w14:paraId="280BEF08">
            <w:pPr>
              <w:spacing w:before="109" w:line="274" w:lineRule="auto"/>
              <w:ind w:left="112" w:firstLine="109"/>
              <w:jc w:val="both"/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5.每月开展2次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排查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处理，清理院内各类无用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积水，清除蚊虫滋生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地，对垃圾桶、绿化带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阴暗角落进行滞留喷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洒，杀灭现存害虫，预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防害虫繁殖。</w:t>
            </w:r>
          </w:p>
          <w:p w14:paraId="2485DAF4">
            <w:pPr>
              <w:spacing w:before="78" w:line="284" w:lineRule="auto"/>
              <w:ind w:firstLine="432" w:firstLineChars="200"/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6.每月开展一次检查，排查服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务区域内容易导致害虫进入室内的结构隐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eastAsia="zh-CN"/>
              </w:rPr>
              <w:t>患，向医院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提出环境建筑结构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与环境卫生整改建议，并针对部分建筑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易造成病媒生物孳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生或入侵的缺陷部位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（包括建筑局部密闭性问题）提供力所能及的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修补服务，相关服务费用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另行商议。</w:t>
            </w:r>
          </w:p>
          <w:p w14:paraId="1AC7E60F">
            <w:pPr>
              <w:spacing w:before="78" w:line="284" w:lineRule="auto"/>
              <w:ind w:firstLine="444" w:firstLineChars="200"/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7.每次服务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完成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后，服务方技术人员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eastAsia="zh-CN"/>
              </w:rPr>
              <w:t>需填写完整服务单，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对本次提供的服务以及服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务过程中发现的问题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作出清晰说明，并每次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eastAsia="zh-CN"/>
              </w:rPr>
              <w:t>配合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接受院方技术人员的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服务评价。</w:t>
            </w:r>
          </w:p>
          <w:p w14:paraId="50DF61EC">
            <w:pPr>
              <w:spacing w:before="101" w:line="283" w:lineRule="auto"/>
              <w:ind w:left="112" w:firstLine="4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8.常规服务中发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现的非目标害虫情况，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服务方需给予初步分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析报告。</w:t>
            </w:r>
          </w:p>
          <w:p w14:paraId="1AFC95AE">
            <w:pPr>
              <w:spacing w:before="78" w:line="284" w:lineRule="auto"/>
              <w:ind w:firstLine="432" w:firstLineChars="200"/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9.建立消杀服务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工作台账。</w:t>
            </w:r>
          </w:p>
          <w:p w14:paraId="3A2833D0">
            <w:pPr>
              <w:spacing w:before="109" w:line="274" w:lineRule="auto"/>
              <w:ind w:left="112" w:firstLine="109"/>
              <w:jc w:val="both"/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</w:p>
          <w:p w14:paraId="206B32CD">
            <w:pPr>
              <w:spacing w:before="8" w:line="219" w:lineRule="auto"/>
              <w:ind w:left="463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2992" w:type="dxa"/>
            <w:vAlign w:val="top"/>
          </w:tcPr>
          <w:p w14:paraId="148FF76E">
            <w:pPr>
              <w:pStyle w:val="8"/>
            </w:pPr>
          </w:p>
        </w:tc>
        <w:tc>
          <w:tcPr>
            <w:tcW w:w="1259" w:type="dxa"/>
            <w:vAlign w:val="top"/>
          </w:tcPr>
          <w:p w14:paraId="1AA1CEEF">
            <w:pPr>
              <w:pStyle w:val="8"/>
            </w:pPr>
          </w:p>
        </w:tc>
      </w:tr>
    </w:tbl>
    <w:p w14:paraId="4F86F839">
      <w:pPr>
        <w:spacing w:line="202" w:lineRule="exact"/>
        <w:rPr>
          <w:rFonts w:ascii="Arial"/>
          <w:sz w:val="17"/>
        </w:rPr>
      </w:pPr>
    </w:p>
    <w:p w14:paraId="4B1BE193">
      <w:pPr>
        <w:spacing w:line="202" w:lineRule="exact"/>
        <w:rPr>
          <w:rFonts w:ascii="Arial" w:hAnsi="Arial" w:eastAsia="Arial" w:cs="Arial"/>
          <w:sz w:val="17"/>
          <w:szCs w:val="17"/>
        </w:rPr>
        <w:sectPr>
          <w:footerReference r:id="rId6" w:type="default"/>
          <w:pgSz w:w="11900" w:h="16840"/>
          <w:pgMar w:top="1074" w:right="1304" w:bottom="822" w:left="0" w:header="0" w:footer="687" w:gutter="0"/>
          <w:pgNumType w:fmt="decimal"/>
          <w:cols w:space="720" w:num="1"/>
        </w:sectPr>
      </w:pPr>
    </w:p>
    <w:p w14:paraId="11F9D803">
      <w:pPr>
        <w:spacing w:line="258" w:lineRule="auto"/>
        <w:rPr>
          <w:rFonts w:ascii="Arial"/>
          <w:sz w:val="21"/>
        </w:rPr>
      </w:pPr>
    </w:p>
    <w:p w14:paraId="0F0CAB10">
      <w:pPr>
        <w:pStyle w:val="2"/>
        <w:numPr>
          <w:ilvl w:val="0"/>
          <w:numId w:val="0"/>
        </w:numPr>
        <w:spacing w:before="78" w:line="219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营业执照复印件、法人身份证、授权委托书及授权人身份证。</w:t>
      </w:r>
    </w:p>
    <w:p w14:paraId="4D826A58">
      <w:pPr>
        <w:pStyle w:val="2"/>
        <w:numPr>
          <w:ilvl w:val="0"/>
          <w:numId w:val="0"/>
        </w:numPr>
        <w:spacing w:before="78" w:line="219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企业简介、服务团队配置、作业设备清单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4075E60B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消杀药品名录、药品登记证、质检合格证明。</w:t>
      </w:r>
    </w:p>
    <w:p w14:paraId="1710B191">
      <w:pPr>
        <w:pStyle w:val="2"/>
        <w:numPr>
          <w:ilvl w:val="0"/>
          <w:numId w:val="0"/>
        </w:numPr>
        <w:spacing w:before="78" w:line="219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五、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标准化作业方案、日常消杀频次方案、重点区域治理方案、应急处置方案。</w:t>
      </w:r>
    </w:p>
    <w:p w14:paraId="5192205E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六、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近三年同类医院服务合同、业绩证明材料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信用查询截图（信用中国、政府采购网）。</w:t>
      </w:r>
    </w:p>
    <w:p w14:paraId="42CE61C7">
      <w:pPr>
        <w:pStyle w:val="2"/>
        <w:spacing w:before="47" w:line="219" w:lineRule="auto"/>
        <w:ind w:firstLine="480" w:firstLineChars="200"/>
        <w:rPr>
          <w:rFonts w:hint="eastAsia" w:eastAsiaTheme="minorEastAsia"/>
          <w:lang w:eastAsia="zh-CN"/>
        </w:rPr>
        <w:sectPr>
          <w:footerReference r:id="rId7" w:type="default"/>
          <w:pgSz w:w="11900" w:h="16840"/>
          <w:pgMar w:top="1056" w:right="9" w:bottom="887" w:left="1209" w:header="0" w:footer="683" w:gutter="0"/>
          <w:pgNumType w:fmt="decimal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七、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服务承诺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3EC54DBA">
      <w:pPr>
        <w:pStyle w:val="2"/>
        <w:spacing w:before="42" w:line="184" w:lineRule="auto"/>
      </w:pPr>
    </w:p>
    <w:p w14:paraId="2E4923D4">
      <w:pPr>
        <w:pStyle w:val="2"/>
        <w:spacing w:before="42" w:line="184" w:lineRule="auto"/>
      </w:pPr>
    </w:p>
    <w:p w14:paraId="24D63CE0">
      <w:pPr>
        <w:pStyle w:val="2"/>
        <w:spacing w:before="42" w:line="184" w:lineRule="auto"/>
      </w:pPr>
    </w:p>
    <w:p w14:paraId="25D1A0BE">
      <w:pPr>
        <w:pStyle w:val="2"/>
        <w:spacing w:before="42" w:line="184" w:lineRule="auto"/>
      </w:pPr>
    </w:p>
    <w:p w14:paraId="5155086E">
      <w:pPr>
        <w:pStyle w:val="2"/>
        <w:spacing w:before="42" w:line="184" w:lineRule="auto"/>
      </w:pPr>
    </w:p>
    <w:p w14:paraId="21B6B976">
      <w:pPr>
        <w:pStyle w:val="2"/>
        <w:spacing w:before="42" w:line="184" w:lineRule="auto"/>
      </w:pPr>
    </w:p>
    <w:p w14:paraId="2A7E608C">
      <w:pPr>
        <w:pStyle w:val="2"/>
        <w:spacing w:before="42" w:line="184" w:lineRule="auto"/>
      </w:pPr>
    </w:p>
    <w:p w14:paraId="2D95D372">
      <w:pPr>
        <w:pStyle w:val="2"/>
        <w:spacing w:before="42" w:line="184" w:lineRule="auto"/>
      </w:pPr>
    </w:p>
    <w:p w14:paraId="44F44377">
      <w:pPr>
        <w:pStyle w:val="2"/>
        <w:spacing w:before="42" w:line="184" w:lineRule="auto"/>
      </w:pPr>
    </w:p>
    <w:p w14:paraId="4D28801F">
      <w:pPr>
        <w:pStyle w:val="2"/>
        <w:spacing w:before="42" w:line="184" w:lineRule="auto"/>
      </w:pPr>
    </w:p>
    <w:p w14:paraId="33C812EC">
      <w:pPr>
        <w:pStyle w:val="2"/>
        <w:spacing w:before="42" w:line="184" w:lineRule="auto"/>
      </w:pPr>
    </w:p>
    <w:p w14:paraId="2CB6345A">
      <w:pPr>
        <w:pStyle w:val="2"/>
        <w:spacing w:before="42" w:line="184" w:lineRule="auto"/>
      </w:pPr>
    </w:p>
    <w:p w14:paraId="7B9D4BCA">
      <w:pPr>
        <w:pStyle w:val="2"/>
        <w:spacing w:before="42" w:line="184" w:lineRule="auto"/>
      </w:pPr>
    </w:p>
    <w:p w14:paraId="18005268">
      <w:pPr>
        <w:pStyle w:val="2"/>
        <w:spacing w:before="42" w:line="184" w:lineRule="auto"/>
      </w:pPr>
    </w:p>
    <w:p w14:paraId="5342376B">
      <w:pPr>
        <w:pStyle w:val="2"/>
        <w:spacing w:before="42" w:line="184" w:lineRule="auto"/>
      </w:pPr>
    </w:p>
    <w:p w14:paraId="327FC968">
      <w:pPr>
        <w:pStyle w:val="2"/>
        <w:spacing w:before="42" w:line="184" w:lineRule="auto"/>
      </w:pPr>
    </w:p>
    <w:p w14:paraId="2C6CE855">
      <w:pPr>
        <w:pStyle w:val="2"/>
        <w:spacing w:before="42" w:line="184" w:lineRule="auto"/>
      </w:pPr>
    </w:p>
    <w:p w14:paraId="274DF2E8">
      <w:pPr>
        <w:pStyle w:val="2"/>
        <w:spacing w:before="42" w:line="184" w:lineRule="auto"/>
      </w:pPr>
    </w:p>
    <w:p w14:paraId="29A28886">
      <w:pPr>
        <w:pStyle w:val="2"/>
        <w:spacing w:before="42" w:line="184" w:lineRule="auto"/>
      </w:pPr>
    </w:p>
    <w:p w14:paraId="78D60AA4">
      <w:pPr>
        <w:pStyle w:val="2"/>
        <w:spacing w:before="42" w:line="184" w:lineRule="auto"/>
      </w:pPr>
    </w:p>
    <w:p w14:paraId="16EDBFC3">
      <w:pPr>
        <w:pStyle w:val="2"/>
        <w:spacing w:before="42" w:line="184" w:lineRule="auto"/>
      </w:pPr>
    </w:p>
    <w:p w14:paraId="7C511DD8">
      <w:pPr>
        <w:pStyle w:val="2"/>
        <w:spacing w:before="42" w:line="184" w:lineRule="auto"/>
      </w:pPr>
    </w:p>
    <w:p w14:paraId="15FAB082">
      <w:pPr>
        <w:pStyle w:val="2"/>
        <w:spacing w:before="42" w:line="184" w:lineRule="auto"/>
      </w:pPr>
    </w:p>
    <w:sectPr>
      <w:footerReference r:id="rId8" w:type="default"/>
      <w:type w:val="continuous"/>
      <w:pgSz w:w="11900" w:h="16840"/>
      <w:pgMar w:top="1169" w:right="1270" w:bottom="887" w:left="1090" w:header="0" w:footer="683" w:gutter="0"/>
      <w:cols w:equalWidth="0" w:num="2">
        <w:col w:w="5320" w:space="100"/>
        <w:col w:w="41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4D511">
    <w:pPr>
      <w:spacing w:line="180" w:lineRule="auto"/>
      <w:ind w:left="4774"/>
      <w:rPr>
        <w:rFonts w:ascii="Arial" w:hAnsi="Arial" w:eastAsia="Arial" w:cs="Arial"/>
        <w:sz w:val="13"/>
        <w:szCs w:val="13"/>
      </w:rPr>
    </w:pPr>
    <w:r>
      <w:rPr>
        <w:rFonts w:ascii="Arial" w:hAnsi="Arial" w:eastAsia="Arial" w:cs="Arial"/>
        <w:sz w:val="13"/>
        <w:szCs w:val="13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FC444">
    <w:pPr>
      <w:spacing w:line="174" w:lineRule="auto"/>
      <w:ind w:left="5810"/>
      <w:rPr>
        <w:rFonts w:ascii="Times New Roman" w:hAnsi="Times New Roman" w:eastAsia="Times New Roman" w:cs="Times New Roman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9F560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9F560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43D49">
    <w:pPr>
      <w:spacing w:line="194" w:lineRule="exact"/>
      <w:rPr>
        <w:rFonts w:ascii="Arial" w:hAnsi="Arial" w:eastAsia="Arial" w:cs="Arial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54E8E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54E8E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4CE71">
    <w:pPr>
      <w:spacing w:line="194" w:lineRule="exact"/>
      <w:ind w:left="4639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pacing w:val="-2"/>
        <w:position w:val="1"/>
        <w:sz w:val="15"/>
        <w:szCs w:val="15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28331C"/>
    <w:rsid w:val="0F1C7A0B"/>
    <w:rsid w:val="10A9155C"/>
    <w:rsid w:val="22CE51C0"/>
    <w:rsid w:val="497C6E74"/>
    <w:rsid w:val="54F75F49"/>
    <w:rsid w:val="56905D0D"/>
    <w:rsid w:val="644545DB"/>
    <w:rsid w:val="701B1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1476</Words>
  <Characters>1518</Characters>
  <TotalTime>6</TotalTime>
  <ScaleCrop>false</ScaleCrop>
  <LinksUpToDate>false</LinksUpToDate>
  <CharactersWithSpaces>1539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2026-07-22T17:37:00Z</dcterms:created>
  <dc:creator>Administrator</dc:creator>
  <cp:lastModifiedBy>mohuanyi</cp:lastModifiedBy>
  <dcterms:modified xsi:type="dcterms:W3CDTF">2026-07-24T00:53:44Z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2026-07-22T17:37:47Z</vt:filetime>
  </property>
  <property fmtid="{D5CDD505-2E9C-101B-9397-08002B2CF9AE}" pid="4" name="UsrData">
    <vt:lpwstr>6a608f6434b59f001f859c80wl</vt:lpwstr>
  </property>
  <property fmtid="{D5CDD505-2E9C-101B-9397-08002B2CF9AE}" pid="5" name="KSOTemplateDocerSaveRecord">
    <vt:lpwstr>eyJoZGlkIjoiNzM0YzcwOTZjMjRjNDY2YmVmZTA3ZWYxMTQ5MzQ3MzgiLCJ1c2VySWQiOiI0NjE0MDg4ODAifQ==</vt:lpwstr>
  </property>
  <property fmtid="{D5CDD505-2E9C-101B-9397-08002B2CF9AE}" pid="6" name="KSOProductBuildVer">
    <vt:lpwstr>2052-12.1.0.26895</vt:lpwstr>
  </property>
  <property fmtid="{D5CDD505-2E9C-101B-9397-08002B2CF9AE}" pid="7" name="ICV">
    <vt:lpwstr>66ED5F6B17DB4D43BD54531766C53E74_13</vt:lpwstr>
  </property>
</Properties>
</file>